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895" w:rsidRDefault="00565895" w:rsidP="00565895">
      <w:pPr>
        <w:jc w:val="center"/>
      </w:pPr>
      <w:r>
        <w:t>12. REDDITI E PLUSVALENZE PRODOTTI SUCCESSIVAMENTE AL RIMPATRIO</w:t>
      </w:r>
    </w:p>
    <w:p w:rsidR="00565895" w:rsidRDefault="00565895" w:rsidP="00565895">
      <w:pPr>
        <w:jc w:val="both"/>
      </w:pPr>
    </w:p>
    <w:p w:rsidR="00565895" w:rsidRDefault="00565895" w:rsidP="00565895">
      <w:pPr>
        <w:jc w:val="both"/>
      </w:pPr>
      <w:r>
        <w:t>Con riguardo alla determinazione dei redditi di capitale e dei redditi diversi di natura finanziaria eventualmente realizzati dal contribuente dopo avere effettuato il rimpatrio, si ricorda che, ai sensi del comma 5-bis dell’articolo 14 del decreto legge n. 350 del 2001, possono essere anche derogati gli ordinari criteri di determinazione dei redditi stabiliti dal TUIR. In particolare, sulla base di tale disposizione, il contribuente deve assumere, quale costo fiscalmente rilevante, il costo di acquisto, come risultante dalla relativa documentazione. Soltanto in mancanza della documentazione di acquisto può essere assunto, alternativamente:</w:t>
      </w:r>
    </w:p>
    <w:p w:rsidR="00565895" w:rsidRDefault="00565895" w:rsidP="00565895">
      <w:pPr>
        <w:jc w:val="both"/>
      </w:pPr>
      <w:r>
        <w:t xml:space="preserve">􀂾 il valore fornito all’intermediario mediante un’apposita dichiarazione sostitutiva resa ai sensi dell’articolo 6, comma 3, del </w:t>
      </w:r>
      <w:proofErr w:type="spellStart"/>
      <w:r>
        <w:t>D.Lgs.</w:t>
      </w:r>
      <w:proofErr w:type="spellEnd"/>
      <w:r>
        <w:t xml:space="preserve"> n. 461 del 1997. Tale valore non può in ogni caso superare il valore normale determinato sulla base dei criteri generali stabiliti dall’articolo 9 del TUIR;</w:t>
      </w:r>
    </w:p>
    <w:p w:rsidR="00565895" w:rsidRDefault="00565895" w:rsidP="00565895">
      <w:pPr>
        <w:jc w:val="both"/>
      </w:pPr>
      <w:r>
        <w:t>􀂾 l’importo dichiarato nella dichiarazione riservata; in tale ipotesi la scelta va operata barrando l’apposita casella prevista nel modello di dichiarazione riservata.</w:t>
      </w:r>
    </w:p>
    <w:p w:rsidR="00565895" w:rsidRDefault="00565895" w:rsidP="00565895">
      <w:pPr>
        <w:jc w:val="both"/>
      </w:pPr>
      <w:r>
        <w:t xml:space="preserve">Al riguardo, si ricorda che, qualora le attività rimpatriate vengano immesse in un rapporto per il quale si è optato per il regime del risparmio gestito di cui all’articolo 7 del </w:t>
      </w:r>
      <w:proofErr w:type="spellStart"/>
      <w:r>
        <w:t>D.Lgs.</w:t>
      </w:r>
      <w:proofErr w:type="spellEnd"/>
      <w:r>
        <w:t xml:space="preserve"> n. 461 del 1997, rimane ferma la disciplina di carattere generale contenuta nel comma 7 del medesimo articolo, in base alla quale il conferimento di strumenti finanziari nella gestione si considera cessione a titolo oneroso e comporta l’obbligo, in capo all’intermediario, di procedere alla determinazione delle eventuali plusvalenze derivanti dalla differenza tra il costo d’acquisto e il valore di conferimento determinato secondo i criteri stabiliti nel regolamento di gestione. Ove ne derivi una plusvalenza, l’intermediario è tenuto ad applicare il prelievo sulla base dell’articolo 6, commi 5, 6 e 9 del medesimo decreto legislativo.</w:t>
      </w:r>
    </w:p>
    <w:p w:rsidR="00565895" w:rsidRDefault="00565895" w:rsidP="00565895">
      <w:pPr>
        <w:jc w:val="both"/>
      </w:pPr>
      <w:r>
        <w:t>Pertanto, anche qualora siano conferiti in gestione strumenti finanziari rimpatriati e sia esercitata l’opzione di cui all’articolo 14, comma 5-bis, al fine di considerare il valore indicato nella dichiarazione riservata quale costo fiscalmente riconosciuto, la valorizzazione degli strumenti medesimi deve essere effettuata secondo i criteri indicati nel predetto regolamento e l’intermediario dovrà procedere, in caso di differenza tra il valore risultante dall’applicazione di tali criteri e quello indicato nella dichiarazione riservata, alla rilevazione della eventuale plusvalenza e all’applicazione del prelievo.</w:t>
      </w:r>
    </w:p>
    <w:p w:rsidR="00565895" w:rsidRDefault="00565895" w:rsidP="00565895">
      <w:pPr>
        <w:jc w:val="both"/>
      </w:pPr>
      <w:r>
        <w:t>In caso di minusvalenza, questa non potrà in alcun caso essere computata in diminuzione del risultato della gestione.</w:t>
      </w:r>
    </w:p>
    <w:p w:rsidR="00565895" w:rsidRDefault="00565895" w:rsidP="00565895">
      <w:pPr>
        <w:jc w:val="both"/>
      </w:pPr>
      <w:r>
        <w:t>Si precisa, infine, che per la determinazione dei redditi diversi derivanti dalle attività rimpatriate diverse da quelle finanziarie, non potendosi applicare la disposizione speciale contenuta nel comma 5-bis dell’articolo 14 del decreto legge n. 350 del 2001, si rendono applicabili gli ordinari criteri di determinazione dei redditi stabiliti dal TUIR.</w:t>
      </w:r>
    </w:p>
    <w:p w:rsidR="00AC6973" w:rsidRDefault="00AC6973"/>
    <w:sectPr w:rsidR="00AC6973" w:rsidSect="00AC6973">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565895"/>
    <w:rsid w:val="00565895"/>
    <w:rsid w:val="00AC6973"/>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65895"/>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462</Words>
  <Characters>2635</Characters>
  <Application>Microsoft Office Word</Application>
  <DocSecurity>0</DocSecurity>
  <Lines>21</Lines>
  <Paragraphs>6</Paragraphs>
  <ScaleCrop>false</ScaleCrop>
  <Company>HP</Company>
  <LinksUpToDate>false</LinksUpToDate>
  <CharactersWithSpaces>3091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MOBILE</dc:creator>
  <cp:lastModifiedBy>Alice MOBILE</cp:lastModifiedBy>
  <cp:revision>1</cp:revision>
  <dcterms:created xsi:type="dcterms:W3CDTF">2009-12-13T16:49:00Z</dcterms:created>
  <dcterms:modified xsi:type="dcterms:W3CDTF">2009-12-13T16:50:00Z</dcterms:modified>
</cp:coreProperties>
</file>