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DBB" w:rsidRDefault="00774DBB" w:rsidP="00C6468F">
      <w:pPr>
        <w:jc w:val="center"/>
      </w:pPr>
      <w:r>
        <w:t>1. AMBITO SOGGETTIVO</w:t>
      </w:r>
    </w:p>
    <w:p w:rsidR="00774DBB" w:rsidRDefault="00774DBB" w:rsidP="00774DBB">
      <w:pPr>
        <w:jc w:val="both"/>
      </w:pPr>
    </w:p>
    <w:p w:rsidR="00774DBB" w:rsidRDefault="00774DBB" w:rsidP="00774DBB">
      <w:pPr>
        <w:jc w:val="both"/>
      </w:pPr>
      <w:r>
        <w:t>I destinatari delle disposizioni concernenti l’emersione delle attività detenute all’estero sono quelli interessati dalla normativa sul “monitoraggio fiscale” ossia le persone fisiche, gli enti non commerciali e le società semplici ed associazioni equiparate, fiscalmente residenti nel territorio dello Stato.</w:t>
      </w:r>
    </w:p>
    <w:p w:rsidR="00774DBB" w:rsidRDefault="00774DBB" w:rsidP="00774DBB">
      <w:pPr>
        <w:jc w:val="both"/>
      </w:pPr>
      <w:r>
        <w:t>In tale ambito soggettivo sono ricomprese le persone fisiche titolari di reddito d’impresa o di lavoro autonomo. Restano, invece, esclusi gli enti commerciali, nonché le società, siano esse società di persone o società di capitali, ad eccezione delle società semplici.</w:t>
      </w:r>
    </w:p>
    <w:p w:rsidR="00774DBB" w:rsidRDefault="00774DBB" w:rsidP="00774DBB">
      <w:pPr>
        <w:jc w:val="both"/>
      </w:pPr>
      <w:r>
        <w:t>I soggetti interessati devono essere fiscalmente residenti nel territorio dello Stato. A tal fine, con riguardo alle persone fisiche, si deve fare riferimento alla nozione contenuta nell’articolo 2, comma 2, del TUIR, in base alla quale si considerano residenti “le persone che per la maggior parte del periodo d’imposta sono iscritte nelle anagrafi della popolazione residente o hanno nel territorio dello Stato il domicilio o la residenza ai sensi del codice civile”.</w:t>
      </w:r>
    </w:p>
    <w:p w:rsidR="00774DBB" w:rsidRDefault="00774DBB" w:rsidP="00774DBB">
      <w:pPr>
        <w:jc w:val="both"/>
      </w:pPr>
      <w:r>
        <w:t>Inoltre, come stabilito dal successivo comma 2-bis del medesimo articolo 2 del TUIR, si considerano altresì residenti, salvo prova contraria del contribuente, i cittadini italiani cancellati dalle anagrafi della popolazione residente e trasferiti in Stati o territori diversi da quelli individuati con decreto del Ministro dell’Economia e delle Finanze. Al riguardo si ricorda che, fino all’emanazione del citato decreto, si considerano residenti i cittadini emigrati in Stati o territori aventi un regime fiscale privilegiato individuati dal D.M. 4 maggio 1999 (cosiddetta “</w:t>
      </w:r>
      <w:proofErr w:type="spellStart"/>
      <w:r>
        <w:t>black</w:t>
      </w:r>
      <w:proofErr w:type="spellEnd"/>
      <w:r>
        <w:t xml:space="preserve"> </w:t>
      </w:r>
      <w:proofErr w:type="spellStart"/>
      <w:r>
        <w:t>list</w:t>
      </w:r>
      <w:proofErr w:type="spellEnd"/>
      <w:r>
        <w:t>”).</w:t>
      </w:r>
    </w:p>
    <w:p w:rsidR="00774DBB" w:rsidRDefault="00774DBB" w:rsidP="00774DBB">
      <w:pPr>
        <w:jc w:val="both"/>
      </w:pPr>
      <w:r>
        <w:t>Ne consegue che, anche tali soggetti, ricorrendone i presupposti, rientrano nell’ambito soggettivo di applicazione delle disposizioni in commento. In tal caso è necessario manifestare all’intermediario il proprio status di residente italiano, rinunciando pertanto alla possibilità di fornire la prova contraria di cui al citato comma 2-bis dell’articolo 2 del TUIR.</w:t>
      </w:r>
    </w:p>
    <w:p w:rsidR="00774DBB" w:rsidRDefault="00774DBB" w:rsidP="00774DBB">
      <w:pPr>
        <w:jc w:val="both"/>
      </w:pPr>
      <w:r>
        <w:t>Si ritiene che i contribuenti la cui residenza fiscale in Italia sia determinata in base ad accordi internazionali ratificati in Italia e che prestano in via continuativa attività lavorative presso organismi comunitari, non siano soggetti all’obbligo di compilazione del modulo RW in relazione alle disponibilità costituite all’estero mediante l’accredito degli stipendi o altri emolumenti derivanti da tali attività lavorative.</w:t>
      </w:r>
    </w:p>
    <w:p w:rsidR="00774DBB" w:rsidRDefault="00774DBB" w:rsidP="00774DBB">
      <w:pPr>
        <w:jc w:val="both"/>
      </w:pPr>
      <w:r>
        <w:t>Si ritengono altresì esclusi dal medesimo obbligo i residenti nel comune di Campione d’Italia in relazione alle disponibilità detenute presso istituti elvetici in base alle disposizioni valutarie specificamente riferite al predetto territorio. Tale esclusione è limitata alle disponibilità derivanti da redditi di lavoro, da trattamenti pensionistici, nonché da altre attività lavorative svolte direttamente in Svizzera da soggetti residenti nel suddetto Comune.</w:t>
      </w:r>
    </w:p>
    <w:p w:rsidR="00774DBB" w:rsidRDefault="00774DBB" w:rsidP="00774DBB">
      <w:pPr>
        <w:jc w:val="both"/>
      </w:pPr>
      <w:r>
        <w:t>Per le società semplici, le associazioni e gli enti non commerciali, gli articoli 5, comma 3, lettera d), e 73, comma 3, del TUIR stabiliscono che si considerano residenti i soggetti che per la maggior parte del periodo d’imposta hanno la sede legale o la sede dell’amministrazione o l’oggetto principale nel territorio dello Stato.</w:t>
      </w:r>
    </w:p>
    <w:p w:rsidR="00774DBB" w:rsidRDefault="00774DBB" w:rsidP="00774DBB">
      <w:pPr>
        <w:jc w:val="both"/>
      </w:pPr>
      <w:r>
        <w:t>Il requisito della residenza nel territorio dello Stato deve sussistere per il periodo d’imposta in corso alla data di presentazione della cosiddetta “dichiarazione riservata” (2009).</w:t>
      </w:r>
    </w:p>
    <w:p w:rsidR="00774DBB" w:rsidRDefault="00774DBB" w:rsidP="00774DBB">
      <w:pPr>
        <w:jc w:val="both"/>
      </w:pPr>
      <w:r>
        <w:t xml:space="preserve">Considerato che, ai sensi dell’articolo 2 del TUIR, il requisito della residenza si acquisisce ex </w:t>
      </w:r>
      <w:proofErr w:type="spellStart"/>
      <w:r>
        <w:t>tunc</w:t>
      </w:r>
      <w:proofErr w:type="spellEnd"/>
      <w:r>
        <w:t xml:space="preserve"> nel corso del periodo d’imposta nel quale si verifica il collegamento territoriale rilevante ai fini fiscali, si deve ritenere che possano essere inclusi nel novero dei soggetti interessati tutti coloro che, pur non risultando residenti nel territorio dello Stato alla data di presentazione della dichiarazione riservata, vengano ad acquisire successivamente a tale data detto requisito in quanto, ad esempio, abbiano inteso stabilire nel territorio dello Stato, per la maggior parte del periodo d’imposta, il proprio domicilio o la residenza ai sensi del codice civile.</w:t>
      </w:r>
    </w:p>
    <w:p w:rsidR="00774DBB" w:rsidRDefault="00774DBB" w:rsidP="00774DBB">
      <w:pPr>
        <w:jc w:val="both"/>
      </w:pPr>
      <w:r>
        <w:t>Tuttavia, per poter usufruire dell’emersione delle attività detenute all’estero, rimane fermo il presupposto del mancato adempimento delle disposizioni sul monitoraggio fiscale nei periodi d’imposta nei quali essi erano residenti in Italia.</w:t>
      </w:r>
    </w:p>
    <w:p w:rsidR="00774DBB" w:rsidRDefault="00774DBB" w:rsidP="00774DBB">
      <w:pPr>
        <w:jc w:val="both"/>
      </w:pPr>
      <w:r>
        <w:lastRenderedPageBreak/>
        <w:t>Si precisa, inoltre, che è preclusa la possibilità di usufruire delle disposizioni relative all’emersione delle attività detenute all’estero per i soggetti che abbiano osservato le disposizioni sul “monitoraggio fiscale”, ma abbiano violato unicamente gli obblighi di dichiarazione annuale dei redditi di fonte estera.</w:t>
      </w:r>
    </w:p>
    <w:p w:rsidR="00774DBB" w:rsidRDefault="00774DBB" w:rsidP="00774DBB">
      <w:pPr>
        <w:jc w:val="both"/>
      </w:pPr>
      <w:r>
        <w:t>In considerazione della finalità del provvedimento, che è quella di consentire l’emersione di attività comunque riferibili al contribuente detenute al di fuori del territorio dello Stato, essa è ammessa non soltanto nel caso di possesso diretto delle attività da parte del contribuente, ma anche nel caso in cui le predette attività siano intestate a società fiduciarie o siano possedute dal contribuente per il tramite di interposta persona.</w:t>
      </w:r>
    </w:p>
    <w:p w:rsidR="00774DBB" w:rsidRDefault="00774DBB" w:rsidP="00774DBB">
      <w:pPr>
        <w:jc w:val="both"/>
      </w:pPr>
      <w:r>
        <w:t xml:space="preserve">Come precisato nella circolare 4 dicembre 2001, n. 99/E, relativamente alla nozione di “interposta persona”, la questione non può essere risolta in modo generalizzato, essendo direttamente connessa alle caratteristiche e alle modalità organizzative del soggetto interposto. In tale sede, a titolo esemplificativo, è stato chiarito che si deve considerare soggetto </w:t>
      </w:r>
      <w:proofErr w:type="spellStart"/>
      <w:r>
        <w:t>fittiziamente</w:t>
      </w:r>
      <w:proofErr w:type="spellEnd"/>
      <w:r>
        <w:t xml:space="preserve"> interposto “una società localizzata in un Paese avente fiscalità privilegiata, non soggetta ad alcun obbligo di tenuta delle scritture contabili, in relazione alla quale lo schermo societario appare meramente formale e ben si può sostenere che la titolarità dei beni intestati alla società spetti in realtà al socio che effettua il rimpatrio”.</w:t>
      </w:r>
    </w:p>
    <w:p w:rsidR="00774DBB" w:rsidRDefault="00774DBB" w:rsidP="00774DBB">
      <w:pPr>
        <w:jc w:val="both"/>
      </w:pPr>
      <w:r>
        <w:t xml:space="preserve">La stessa circolare n. 99/E del 2001, con riferimento alla possibilità di regolarizzare attività detenute all’estero tramite un trust, ha indicato, a titolo di esempio, quali casi di interposizione, il “trust revocabile (per cui il titolare va identificato nel </w:t>
      </w:r>
      <w:proofErr w:type="spellStart"/>
      <w:r>
        <w:t>disponente</w:t>
      </w:r>
      <w:proofErr w:type="spellEnd"/>
      <w:r>
        <w:t xml:space="preserve"> o </w:t>
      </w:r>
      <w:proofErr w:type="spellStart"/>
      <w:r>
        <w:t>settlor</w:t>
      </w:r>
      <w:proofErr w:type="spellEnd"/>
      <w:r>
        <w:t>) ovvero un trust non discrezionale nei casi in cui il titolare può essere identificato nel beneficiario”.</w:t>
      </w:r>
    </w:p>
    <w:p w:rsidR="00774DBB" w:rsidRDefault="00774DBB" w:rsidP="00774DBB">
      <w:pPr>
        <w:jc w:val="both"/>
      </w:pPr>
      <w:r>
        <w:t xml:space="preserve">Successivamente, con riferimento al trust revocabile, la circolare n. 48/E del 6 agosto 2007 ha precisato che in questa particolare tipologia di tale istituto “il </w:t>
      </w:r>
      <w:proofErr w:type="spellStart"/>
      <w:r>
        <w:t>disponente</w:t>
      </w:r>
      <w:proofErr w:type="spellEnd"/>
      <w:r>
        <w:t xml:space="preserve"> si riserva la facoltà di revocare l’attribuzione dei diritti ceduti al </w:t>
      </w:r>
      <w:proofErr w:type="spellStart"/>
      <w:r>
        <w:t>trustee</w:t>
      </w:r>
      <w:proofErr w:type="spellEnd"/>
      <w:r>
        <w:t xml:space="preserve"> o vincolati nel trust (nel caso in cui il </w:t>
      </w:r>
      <w:proofErr w:type="spellStart"/>
      <w:r>
        <w:t>disponente</w:t>
      </w:r>
      <w:proofErr w:type="spellEnd"/>
      <w:r>
        <w:t xml:space="preserve"> sia anche </w:t>
      </w:r>
      <w:proofErr w:type="spellStart"/>
      <w:r>
        <w:t>trustee</w:t>
      </w:r>
      <w:proofErr w:type="spellEnd"/>
      <w:r>
        <w:t xml:space="preserve">), diritti, che, con l’esercizio della revoca rientrano nella sua sfera patrimoniale. E’ evidente come in tal caso non si abbia un trasferimento irreversibile dei diritti e, soprattutto, come il </w:t>
      </w:r>
      <w:proofErr w:type="spellStart"/>
      <w:r>
        <w:t>disponente</w:t>
      </w:r>
      <w:proofErr w:type="spellEnd"/>
      <w:r>
        <w:t xml:space="preserve"> non subisca una permanente diminuzione patrimoniale. Questo tipo di trust … ai fini delle imposte sui redditi non dà luogo ad un autonomo soggetto passivo d’imposta cosicché i suoi redditi sono tassati in capo al </w:t>
      </w:r>
      <w:proofErr w:type="spellStart"/>
      <w:r>
        <w:t>disponente</w:t>
      </w:r>
      <w:proofErr w:type="spellEnd"/>
      <w:r>
        <w:t>”.</w:t>
      </w:r>
    </w:p>
    <w:p w:rsidR="00774DBB" w:rsidRDefault="00774DBB" w:rsidP="00774DBB">
      <w:pPr>
        <w:jc w:val="both"/>
      </w:pPr>
      <w:r>
        <w:t xml:space="preserve">Peraltro, la risoluzione 17 gennaio 2003, n. 8/E, già prima dell’introduzione della normativa nazionale in materia di imposizione del reddito prodotto dai trust, ha precisato che la condizione necessaria affinché un trust possa essere qualificato soggetto passivo ai fini delle imposte sui redditi è che il potere del </w:t>
      </w:r>
      <w:proofErr w:type="spellStart"/>
      <w:r>
        <w:t>trustee</w:t>
      </w:r>
      <w:proofErr w:type="spellEnd"/>
      <w:r>
        <w:t xml:space="preserve"> nell’amministrare i beni in possesso del trust, e ad esso affidati dal </w:t>
      </w:r>
      <w:proofErr w:type="spellStart"/>
      <w:r>
        <w:t>disponente</w:t>
      </w:r>
      <w:proofErr w:type="spellEnd"/>
      <w:r>
        <w:t xml:space="preserve">, sia effettivo. Al contrario, qualora il potere e il controllo sui beni siano riservati al </w:t>
      </w:r>
      <w:proofErr w:type="spellStart"/>
      <w:r>
        <w:t>disponente</w:t>
      </w:r>
      <w:proofErr w:type="spellEnd"/>
      <w:r>
        <w:t xml:space="preserve"> (</w:t>
      </w:r>
      <w:proofErr w:type="spellStart"/>
      <w:r>
        <w:t>settlor</w:t>
      </w:r>
      <w:proofErr w:type="spellEnd"/>
      <w:r>
        <w:t>), il trust dovrà essere considerato come non operante dal punto di vista dell’imposizione diretta.</w:t>
      </w:r>
    </w:p>
    <w:p w:rsidR="00774DBB" w:rsidRDefault="00774DBB" w:rsidP="00774DBB">
      <w:pPr>
        <w:jc w:val="both"/>
      </w:pPr>
      <w:r>
        <w:t xml:space="preserve">Allo stesso modo, in presenza di un trust irrevocabile nel quale il </w:t>
      </w:r>
      <w:proofErr w:type="spellStart"/>
      <w:r>
        <w:t>trustee</w:t>
      </w:r>
      <w:proofErr w:type="spellEnd"/>
      <w:r>
        <w:t xml:space="preserve"> è di fatto privato dei poteri dispositivi sui beni attribuiti al trust che risultano invece esercitati dai beneficiari, il trust deve essere considerato come non operante in quanto </w:t>
      </w:r>
      <w:proofErr w:type="spellStart"/>
      <w:r>
        <w:t>fittiziamente</w:t>
      </w:r>
      <w:proofErr w:type="spellEnd"/>
      <w:r>
        <w:t xml:space="preserve"> interposto nel possesso dei beni.</w:t>
      </w:r>
    </w:p>
    <w:p w:rsidR="00774DBB" w:rsidRDefault="00774DBB" w:rsidP="00774DBB">
      <w:pPr>
        <w:jc w:val="both"/>
      </w:pPr>
      <w:r>
        <w:t xml:space="preserve">In buona sostanza si tratta di ipotesi in cui le attività facenti parte del patrimonio del trust continuano ad essere a disposizione del </w:t>
      </w:r>
      <w:proofErr w:type="spellStart"/>
      <w:r>
        <w:t>settlor</w:t>
      </w:r>
      <w:proofErr w:type="spellEnd"/>
      <w:r>
        <w:t xml:space="preserve"> oppure rientrano nella disponibilità dei beneficiari.</w:t>
      </w:r>
    </w:p>
    <w:p w:rsidR="00774DBB" w:rsidRDefault="00774DBB" w:rsidP="00774DBB">
      <w:pPr>
        <w:jc w:val="both"/>
      </w:pPr>
      <w:r>
        <w:t xml:space="preserve">A titolo esemplificativo, sono da ritenere </w:t>
      </w:r>
      <w:proofErr w:type="spellStart"/>
      <w:r>
        <w:t>fittiziamente</w:t>
      </w:r>
      <w:proofErr w:type="spellEnd"/>
      <w:r>
        <w:t xml:space="preserve"> interposti:</w:t>
      </w:r>
    </w:p>
    <w:p w:rsidR="00774DBB" w:rsidRDefault="00774DBB" w:rsidP="00774DBB">
      <w:pPr>
        <w:jc w:val="both"/>
      </w:pPr>
      <w:r>
        <w:t xml:space="preserve">􀂾 trust che il </w:t>
      </w:r>
      <w:proofErr w:type="spellStart"/>
      <w:r>
        <w:t>disponente</w:t>
      </w:r>
      <w:proofErr w:type="spellEnd"/>
      <w:r>
        <w:t xml:space="preserve"> (o il beneficiario) può far cessare liberamente in ogni momento, generalmente a proprio vantaggio o anche a vantaggio di terzi;</w:t>
      </w:r>
    </w:p>
    <w:p w:rsidR="00774DBB" w:rsidRDefault="00774DBB" w:rsidP="00774DBB">
      <w:pPr>
        <w:jc w:val="both"/>
      </w:pPr>
      <w:r>
        <w:t xml:space="preserve">􀂾 trust in cui il </w:t>
      </w:r>
      <w:proofErr w:type="spellStart"/>
      <w:r>
        <w:t>disponente</w:t>
      </w:r>
      <w:proofErr w:type="spellEnd"/>
      <w:r>
        <w:t xml:space="preserve"> è titolare del potere di designare in qualsiasi momento se stesso come beneficiario;</w:t>
      </w:r>
    </w:p>
    <w:p w:rsidR="00774DBB" w:rsidRDefault="00774DBB" w:rsidP="00774DBB">
      <w:pPr>
        <w:jc w:val="both"/>
      </w:pPr>
      <w:r>
        <w:t xml:space="preserve">􀂾 trust in cui il </w:t>
      </w:r>
      <w:proofErr w:type="spellStart"/>
      <w:r>
        <w:t>disponente</w:t>
      </w:r>
      <w:proofErr w:type="spellEnd"/>
      <w:r>
        <w:t xml:space="preserve"> (o il beneficiario) è titolare di significativi poteri in forza dell’atto istitutivo, in conseguenza dei quali il </w:t>
      </w:r>
      <w:proofErr w:type="spellStart"/>
      <w:r>
        <w:t>trustee</w:t>
      </w:r>
      <w:proofErr w:type="spellEnd"/>
      <w:r>
        <w:t>, pur dotato di poteri discrezionali nella gestione ed amministrazione del trust, non può esercitarli senza il suo consenso;</w:t>
      </w:r>
    </w:p>
    <w:p w:rsidR="00774DBB" w:rsidRDefault="00774DBB" w:rsidP="00774DBB">
      <w:pPr>
        <w:jc w:val="both"/>
      </w:pPr>
      <w:r>
        <w:t xml:space="preserve">􀂾 trust in cui il </w:t>
      </w:r>
      <w:proofErr w:type="spellStart"/>
      <w:r>
        <w:t>disponente</w:t>
      </w:r>
      <w:proofErr w:type="spellEnd"/>
      <w:r>
        <w:t xml:space="preserve"> è titolare del potere di porre termine anticipatamente al trust, designando se stesso e/o altri come beneficiari (cosiddetto “trust a termine”);</w:t>
      </w:r>
    </w:p>
    <w:p w:rsidR="00774DBB" w:rsidRDefault="00774DBB" w:rsidP="00774DBB">
      <w:pPr>
        <w:jc w:val="both"/>
      </w:pPr>
      <w:r>
        <w:lastRenderedPageBreak/>
        <w:t xml:space="preserve">􀂾 trust in cui il beneficiario ha diritto di ricevere anticipazioni di capitale dal </w:t>
      </w:r>
      <w:proofErr w:type="spellStart"/>
      <w:r>
        <w:t>trustee</w:t>
      </w:r>
      <w:proofErr w:type="spellEnd"/>
      <w:r>
        <w:t>.</w:t>
      </w:r>
    </w:p>
    <w:p w:rsidR="00774DBB" w:rsidRDefault="00774DBB" w:rsidP="00774DBB">
      <w:pPr>
        <w:jc w:val="both"/>
      </w:pPr>
      <w:r>
        <w:t>In tali casi la dichiarazione di emersione deve essere presentata dal soggetto (</w:t>
      </w:r>
      <w:proofErr w:type="spellStart"/>
      <w:r>
        <w:t>disponente</w:t>
      </w:r>
      <w:proofErr w:type="spellEnd"/>
      <w:r>
        <w:t xml:space="preserve"> o beneficiario) che è l’effettivo possessore dei beni.</w:t>
      </w:r>
    </w:p>
    <w:p w:rsidR="00774DBB" w:rsidRDefault="00774DBB" w:rsidP="00774DBB">
      <w:pPr>
        <w:jc w:val="both"/>
      </w:pPr>
      <w:r>
        <w:t xml:space="preserve">Diversamente, i trust non </w:t>
      </w:r>
      <w:proofErr w:type="spellStart"/>
      <w:r>
        <w:t>fittiziamente</w:t>
      </w:r>
      <w:proofErr w:type="spellEnd"/>
      <w:r>
        <w:t xml:space="preserve"> interposti, ricompresi tra i soggetti di cui all’articolo 73, comma 1, lettera c), del TUIR, essendo tenuti agli adempimenti previsti per tali soggetti dal decreto legge n. 167 del 1990, qualora non abbiano osservato le disposizioni in questo contenute, possono utilizzare le modalità indicate nell’articolo 13-bis in commento per l’emersione delle attività da essi irregolarmente detenute all’estero.</w:t>
      </w:r>
    </w:p>
    <w:p w:rsidR="00774DBB" w:rsidRDefault="00774DBB" w:rsidP="00774DBB">
      <w:pPr>
        <w:jc w:val="both"/>
      </w:pPr>
      <w:r>
        <w:t xml:space="preserve">In tal caso, la dichiarazione di emersione deve essere presentata dal </w:t>
      </w:r>
      <w:proofErr w:type="spellStart"/>
      <w:r>
        <w:t>trustee</w:t>
      </w:r>
      <w:proofErr w:type="spellEnd"/>
      <w:r>
        <w:t xml:space="preserve"> in qualità di soggetto tenuto ad assolvere tutti gli adempimenti fiscali del trust.</w:t>
      </w:r>
    </w:p>
    <w:p w:rsidR="00774DBB" w:rsidRDefault="00774DBB" w:rsidP="00774DBB">
      <w:pPr>
        <w:jc w:val="both"/>
      </w:pPr>
      <w:r>
        <w:t xml:space="preserve">E’, inoltre, opportuno precisare che per trust residenti si devono intendere anche quelli la cui residenza nel territorio dello Stato viene determinata ai sensi dell’articolo 73, comma 3, del TUIR (cosiddetti “trust </w:t>
      </w:r>
      <w:proofErr w:type="spellStart"/>
      <w:r>
        <w:t>esterovestiti</w:t>
      </w:r>
      <w:proofErr w:type="spellEnd"/>
      <w:r>
        <w:t xml:space="preserve">”), vale a dire i trust istituiti in Paesi che non consentono un adeguato scambio di informazioni, con almeno un beneficiario e uno dei </w:t>
      </w:r>
      <w:proofErr w:type="spellStart"/>
      <w:r>
        <w:t>disponenti</w:t>
      </w:r>
      <w:proofErr w:type="spellEnd"/>
      <w:r>
        <w:t xml:space="preserve"> fiscalmente residenti in Italia, e i trust istituiti nei predetti Stati quando, successivamente alla costituzione, un soggetto residente trasferisca a favore del trust la proprietà di un bene immobile o di diritti reali immobiliari ovvero costituisca a favore del trust dei vincoli di destinazione degli stessi beni e diritti.</w:t>
      </w:r>
    </w:p>
    <w:p w:rsidR="00774DBB" w:rsidRDefault="00774DBB" w:rsidP="00774DBB">
      <w:pPr>
        <w:jc w:val="both"/>
      </w:pPr>
      <w:r>
        <w:t xml:space="preserve">Nel caso di trust trasparente non </w:t>
      </w:r>
      <w:proofErr w:type="spellStart"/>
      <w:r>
        <w:t>fittiziamente</w:t>
      </w:r>
      <w:proofErr w:type="spellEnd"/>
      <w:r>
        <w:t xml:space="preserve"> interposto, tenuto conto delle modalità di attribuzione del reddito da esso prodotto, si ritiene che gli effetti della dichiarazione di emersione presentata dal </w:t>
      </w:r>
      <w:proofErr w:type="spellStart"/>
      <w:r>
        <w:t>trustee</w:t>
      </w:r>
      <w:proofErr w:type="spellEnd"/>
      <w:r>
        <w:t xml:space="preserve"> si producano in capo ai beneficiari nei limiti e con esclusivo riferimento ai redditi attribuiti per trasparenza dal trust medesimo.</w:t>
      </w:r>
    </w:p>
    <w:p w:rsidR="00774DBB" w:rsidRDefault="00774DBB" w:rsidP="00774DBB">
      <w:pPr>
        <w:jc w:val="both"/>
      </w:pPr>
      <w:r>
        <w:t xml:space="preserve">Fra i soggetti che possono presentare la dichiarazione di emersione sono da comprendere gli eredi. Ovviamente, il de </w:t>
      </w:r>
      <w:proofErr w:type="spellStart"/>
      <w:r>
        <w:t>cuius</w:t>
      </w:r>
      <w:proofErr w:type="spellEnd"/>
      <w:r>
        <w:t xml:space="preserve"> doveva essere residente in Italia nel momento in cui ha compiuto la violazione delle norme di cui al decreto legge n. 167 del 1990. Nel compilare la dichiarazione riservata nella sezione “Dati del dichiarante” devono essere indicati i dati del defunto mentre i dati dell’erede che presenta la dichiarazione riservata vanno indicati nella sezione “Dati del rappresentate del soggetto dichiarante”. Il soggetto che presenta la dichiarazione in luogo del de </w:t>
      </w:r>
      <w:proofErr w:type="spellStart"/>
      <w:r>
        <w:t>cuius</w:t>
      </w:r>
      <w:proofErr w:type="spellEnd"/>
      <w:r>
        <w:t>, nel sottoscrivere la dichiarazione, deve altresì specificare la propria qualifica (ad esempio erede, coerede, curatore dell’eredità giacente).</w:t>
      </w:r>
    </w:p>
    <w:p w:rsidR="00774DBB" w:rsidRDefault="00774DBB" w:rsidP="00774DBB">
      <w:pPr>
        <w:jc w:val="both"/>
      </w:pPr>
      <w:r>
        <w:t>L’emersione può riguardare anche attività detenute in comunione da più soggetti. In tal caso, la dichiarazione riservata deve essere presentata da ciascuno dei soggetti interessati per la quota parte di propria competenza.</w:t>
      </w:r>
    </w:p>
    <w:p w:rsidR="00774DBB" w:rsidRDefault="00774DBB" w:rsidP="00774DBB">
      <w:pPr>
        <w:jc w:val="both"/>
      </w:pPr>
      <w:r>
        <w:t>Il comma 7-bis dell’articolo 13-bis del decreto stabilisce che possono effettuare il rimpatrio o la regolarizzazione anche le imprese estere controllate o collegate di cui agli articoli 167 e 168 del TUIR (“</w:t>
      </w:r>
      <w:proofErr w:type="spellStart"/>
      <w:r>
        <w:t>controlled</w:t>
      </w:r>
      <w:proofErr w:type="spellEnd"/>
      <w:r>
        <w:t xml:space="preserve"> </w:t>
      </w:r>
      <w:proofErr w:type="spellStart"/>
      <w:r>
        <w:t>foreign</w:t>
      </w:r>
      <w:proofErr w:type="spellEnd"/>
      <w:r>
        <w:t xml:space="preserve"> company - CFC”).</w:t>
      </w:r>
    </w:p>
    <w:p w:rsidR="00774DBB" w:rsidRDefault="00774DBB" w:rsidP="00774DBB">
      <w:pPr>
        <w:jc w:val="both"/>
      </w:pPr>
      <w:r>
        <w:t>Al riguardo, si ricorda in via preliminare che le disposizioni contenute nell’articolo 167 del TUIR riguardano il caso “di una impresa, di una società o di altro ente, residente o localizzato in Stati o territori” di cui al decreto ministeriale 21 novembre 2001 (cosiddetta “</w:t>
      </w:r>
      <w:proofErr w:type="spellStart"/>
      <w:r>
        <w:t>black</w:t>
      </w:r>
      <w:proofErr w:type="spellEnd"/>
      <w:r>
        <w:t xml:space="preserve"> </w:t>
      </w:r>
      <w:proofErr w:type="spellStart"/>
      <w:r>
        <w:t>list</w:t>
      </w:r>
      <w:proofErr w:type="spellEnd"/>
      <w:r>
        <w:t>”) controllata, direttamente o indirettamente, anche tramite società fiduciarie o per interposta persona, da soggetti residenti in Italia. Il controllo va valutato ai sensi dell’articolo 2359, comma 1, del codice civile.</w:t>
      </w:r>
    </w:p>
    <w:p w:rsidR="00774DBB" w:rsidRDefault="00774DBB" w:rsidP="00774DBB">
      <w:pPr>
        <w:jc w:val="both"/>
      </w:pPr>
      <w:r>
        <w:t>Al ricorrere di tali presupposti, i redditi della partecipata estera sono tassati per trasparenza in capo al socio residente, in proporzione alla partecipazione da esso detenuta. Più precisamente, anziché essere tassati in Italia nel momento in cui confluiscono nel reddito del soggetto controllante in qualità di dividendi effettivamente distribuiti, i redditi della CFC vengono imputati al socio residente nel momento in cui sono conseguiti.</w:t>
      </w:r>
    </w:p>
    <w:p w:rsidR="00774DBB" w:rsidRDefault="00774DBB" w:rsidP="00774DBB">
      <w:pPr>
        <w:jc w:val="both"/>
      </w:pPr>
      <w:r>
        <w:t>Analoghe disposizioni sono previste dall’articolo 168 del TUIR con riferimento alle ipotesi in cui il soggetto residente in Italia detenga una partecipazione di collegamento nella CFC. A tal fine, il collegamento sussiste quando il socio italiano detiene una partecipazione agli utili dell’impresa estera non inferiore al 20 per cento ovvero al 10 per cento se quest’ultima è quotata.</w:t>
      </w:r>
    </w:p>
    <w:p w:rsidR="00774DBB" w:rsidRDefault="00774DBB" w:rsidP="00774DBB">
      <w:pPr>
        <w:jc w:val="both"/>
      </w:pPr>
      <w:r>
        <w:lastRenderedPageBreak/>
        <w:t>Ciò posto, il comma 7-bis dell’articolo 13-bis del decreto prevede che le operazioni di emersione effettuate dalla CFC producono effetti direttamente in capo ai partecipanti residenti in Italia nei limiti degli importi delle attività rimpatriate o regolarizzate.</w:t>
      </w:r>
    </w:p>
    <w:p w:rsidR="00774DBB" w:rsidRDefault="00774DBB" w:rsidP="00774DBB">
      <w:pPr>
        <w:jc w:val="both"/>
      </w:pPr>
      <w:r>
        <w:t>Tale disposizione va interpretata nel quadro della disciplina generale in esame e, in particolare, nell’ottica del rispetto dei presupposti soggettivi che consentono l’accesso allo scudo fiscale.</w:t>
      </w:r>
    </w:p>
    <w:p w:rsidR="00774DBB" w:rsidRDefault="00774DBB" w:rsidP="00774DBB">
      <w:pPr>
        <w:jc w:val="both"/>
      </w:pPr>
      <w:r>
        <w:t>In tal senso, tenuto conto che l’accesso alle operazioni di emersione presuppone la violazione degli obblighi inerenti al “monitoraggio fiscale”, si deve ritenere che la norma faccia esclusivo riferimento alle imprese estere in cui il soggetto che detiene il controllo o il collegamento rientri tra quelli interessati dalla normativa contenuta nel decreto legge n. 167 del 1990, precedentemente individuati. Come espressamente previsto dallo stesso comma 7-bis, è su tale soggetto che si producono gli effetti dell’emersione effettuata dalla CFC.</w:t>
      </w:r>
    </w:p>
    <w:p w:rsidR="00774DBB" w:rsidRDefault="00774DBB" w:rsidP="00774DBB">
      <w:pPr>
        <w:jc w:val="both"/>
      </w:pPr>
      <w:r>
        <w:t>Sulla base delle considerazioni sopra esposte, la fattispecie considerata dalla norma in esame va pertanto configurata come un’ipotesi di interposizione nella quale - a differenza delle analoghe fattispecie ordinariamente considerate, in cui l’emersione è consentita all’interponente quale effettivo possessore delle attività - l’accesso allo scudo fiscale è previsto in capo al soggetto interposto (CFC), fermo restando la produzione dei relativi effetti in capo all’interponente che ha il reale “dominio” delle attività oggetto di emersione da parte della CFC.</w:t>
      </w:r>
    </w:p>
    <w:p w:rsidR="00774DBB" w:rsidRDefault="00774DBB" w:rsidP="00774DBB">
      <w:pPr>
        <w:jc w:val="both"/>
      </w:pPr>
    </w:p>
    <w:p w:rsidR="004D4274" w:rsidRDefault="004D4274"/>
    <w:sectPr w:rsidR="004D4274" w:rsidSect="004D427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774DBB"/>
    <w:rsid w:val="001E1F2C"/>
    <w:rsid w:val="004D4274"/>
    <w:rsid w:val="00774DBB"/>
    <w:rsid w:val="00C6468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74DBB"/>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2221</Words>
  <Characters>12665</Characters>
  <Application>Microsoft Office Word</Application>
  <DocSecurity>0</DocSecurity>
  <Lines>105</Lines>
  <Paragraphs>29</Paragraphs>
  <ScaleCrop>false</ScaleCrop>
  <Company>HP</Company>
  <LinksUpToDate>false</LinksUpToDate>
  <CharactersWithSpaces>14857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2</cp:revision>
  <dcterms:created xsi:type="dcterms:W3CDTF">2009-12-13T16:34:00Z</dcterms:created>
  <dcterms:modified xsi:type="dcterms:W3CDTF">2009-12-13T17:07:00Z</dcterms:modified>
</cp:coreProperties>
</file>