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175" w:rsidRDefault="00553175" w:rsidP="00463E41">
      <w:pPr>
        <w:jc w:val="center"/>
      </w:pPr>
      <w:r>
        <w:t>3. INTERMEDIARI ABILITATI</w:t>
      </w:r>
    </w:p>
    <w:p w:rsidR="00553175" w:rsidRDefault="00553175" w:rsidP="00553175">
      <w:pPr>
        <w:jc w:val="both"/>
      </w:pPr>
    </w:p>
    <w:p w:rsidR="00553175" w:rsidRDefault="00553175" w:rsidP="00553175">
      <w:pPr>
        <w:jc w:val="both"/>
      </w:pPr>
      <w:r>
        <w:t>Per l’effettuazione delle operazioni di emersione è necessario avvalersi dell’intervento degli intermediari specificamente individuati dall’articolo 11, comma 1, lettera b), del decreto legge n. 350 del 2001. Si tratta, in particolare, di:</w:t>
      </w:r>
    </w:p>
    <w:p w:rsidR="00553175" w:rsidRDefault="00553175" w:rsidP="00553175">
      <w:pPr>
        <w:jc w:val="both"/>
      </w:pPr>
      <w:r>
        <w:t>1. banche italiane;</w:t>
      </w:r>
    </w:p>
    <w:p w:rsidR="00553175" w:rsidRDefault="00553175" w:rsidP="00553175">
      <w:pPr>
        <w:jc w:val="both"/>
      </w:pPr>
      <w:r>
        <w:t>2. società di intermediazione mobiliare (SIM) di cui all’articolo 1, comma 1, lettera e), del testo unico della finanza, approvato con il decreto legislativo 24 febbraio 1998, n. 58 (TUF);</w:t>
      </w:r>
    </w:p>
    <w:p w:rsidR="00553175" w:rsidRDefault="00553175" w:rsidP="00553175">
      <w:pPr>
        <w:jc w:val="both"/>
      </w:pPr>
      <w:r>
        <w:t>3. società di gestione del risparmio (SGR) previste dall’articolo 1, comma 1, lettera o), del TUF, limitatamente alle attività di gestione su base individuale di portafogli di investimento per conto terzi. Al riguardo si fa presente che, a seguito delle modifiche apportate all’articolo 33 del TUF dal decreto legislativo 1° agosto 2003, n. 274, le SGR possono svolgere, a decorrere dal 22 ottobre 2003, attività di custodia e amministrazione di strumenti finanziari non solo con riferimento ad una gestione individuale di portafoglio, ma anche in relazione alle quote di OICR dalle stesse istituiti;</w:t>
      </w:r>
    </w:p>
    <w:p w:rsidR="00553175" w:rsidRDefault="00553175" w:rsidP="00553175">
      <w:pPr>
        <w:jc w:val="both"/>
      </w:pPr>
      <w:r>
        <w:t>4. società fiduciarie di cui alla legge 23 novembre 1939, n. 1966;</w:t>
      </w:r>
    </w:p>
    <w:p w:rsidR="00553175" w:rsidRDefault="00553175" w:rsidP="00553175">
      <w:pPr>
        <w:jc w:val="both"/>
      </w:pPr>
      <w:r>
        <w:t>5. agenti di cambio iscritti nel ruolo unico previsto dall’articolo 201 del TUF;</w:t>
      </w:r>
    </w:p>
    <w:p w:rsidR="00553175" w:rsidRDefault="00553175" w:rsidP="00553175">
      <w:pPr>
        <w:jc w:val="both"/>
      </w:pPr>
      <w:r>
        <w:t>6. Poste Italiane S.p.A.;</w:t>
      </w:r>
    </w:p>
    <w:p w:rsidR="00553175" w:rsidRDefault="00553175" w:rsidP="00553175">
      <w:pPr>
        <w:jc w:val="both"/>
      </w:pPr>
      <w:r>
        <w:t>7. stabili organizzazioni in Italia di banche e di imprese di investimento non residenti.</w:t>
      </w:r>
    </w:p>
    <w:p w:rsidR="004D4274" w:rsidRDefault="004D4274"/>
    <w:sectPr w:rsidR="004D4274" w:rsidSect="004D427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553175"/>
    <w:rsid w:val="00463E41"/>
    <w:rsid w:val="004D4274"/>
    <w:rsid w:val="0055317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5317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1142</Characters>
  <Application>Microsoft Office Word</Application>
  <DocSecurity>0</DocSecurity>
  <Lines>9</Lines>
  <Paragraphs>2</Paragraphs>
  <ScaleCrop>false</ScaleCrop>
  <Company>HP</Company>
  <LinksUpToDate>false</LinksUpToDate>
  <CharactersWithSpaces>1340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2</cp:revision>
  <dcterms:created xsi:type="dcterms:W3CDTF">2009-12-13T16:37:00Z</dcterms:created>
  <dcterms:modified xsi:type="dcterms:W3CDTF">2009-12-13T16:38:00Z</dcterms:modified>
</cp:coreProperties>
</file>