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74B" w:rsidRDefault="006E374B" w:rsidP="006E374B">
      <w:pPr>
        <w:jc w:val="center"/>
      </w:pPr>
      <w:r>
        <w:t>6. REGOLARIZZAZIONE</w:t>
      </w:r>
    </w:p>
    <w:p w:rsidR="006E374B" w:rsidRDefault="006E374B" w:rsidP="006E374B">
      <w:pPr>
        <w:jc w:val="both"/>
      </w:pPr>
    </w:p>
    <w:p w:rsidR="006E374B" w:rsidRDefault="006E374B" w:rsidP="006E374B">
      <w:pPr>
        <w:jc w:val="both"/>
      </w:pPr>
      <w:r>
        <w:t>Il contribuente, in alternativa all’effettuazione dell’operazione del rimpatrio, può avvalersi degli effetti dell’emersione attraverso la regolarizzazione del denaro e delle attività finanziarie che intende mantenere all’estero.</w:t>
      </w:r>
    </w:p>
    <w:p w:rsidR="006E374B" w:rsidRDefault="006E374B" w:rsidP="006E374B">
      <w:pPr>
        <w:jc w:val="both"/>
      </w:pPr>
      <w:r>
        <w:t>La regolarizzazione può avere ad oggetto, oltre che al denaro e alle attività finanziarie, anche investimenti di diversa natura, quali gli immobili e i fabbricati situati all’estero, le quote di diritti reali, le cosiddette “multiproprietà”, gli yacht, gli oggetti preziosi, le opere d’arte.</w:t>
      </w:r>
    </w:p>
    <w:p w:rsidR="006E374B" w:rsidRDefault="006E374B" w:rsidP="006E374B">
      <w:pPr>
        <w:jc w:val="both"/>
      </w:pPr>
      <w:r>
        <w:t xml:space="preserve">Nell’ambito della regolarizzazione vi rientrano, in considerazione dell’ampia formulazione normativa e delle finalità del provvedimento, anche le attività detenute all’estero intestate a società fiduciarie o possedute dal contribuente per il tramite di interposta persona. Si conferma che possono essere considerate come attività detenute all’estero anche gli immobili ubicati in Italia posseduti per il tramite di un soggetto interposto residente all’estero (cfr. </w:t>
      </w:r>
      <w:proofErr w:type="spellStart"/>
      <w:r>
        <w:t>ris</w:t>
      </w:r>
      <w:proofErr w:type="spellEnd"/>
      <w:r>
        <w:t>. n. 134/E del 30 aprile 2002). Va da sé che la regolarizzazione è possibile se il soggetto interposto è residente in un Paese che garantisce un effettivo scambio di informazioni. Inoltre, si ricorda che, per accedere alle procedure di emersione, occorre che sussista il presupposto della violazione, da parte del soggetto interponente/dichiarante, di una delle disposizioni contenute nel decreto legge n. 167 del 1990.</w:t>
      </w:r>
    </w:p>
    <w:p w:rsidR="006E374B" w:rsidRDefault="006E374B" w:rsidP="006E374B">
      <w:pPr>
        <w:jc w:val="both"/>
      </w:pPr>
      <w:r>
        <w:t>Ove possibile, una volta effettuata la regolarizzazione, i beni possono essere anche riportati in Italia, mantenendo gli effetti previsti per tale forma di emersione.</w:t>
      </w:r>
    </w:p>
    <w:p w:rsidR="006E374B" w:rsidRDefault="006E374B" w:rsidP="006E374B">
      <w:pPr>
        <w:jc w:val="both"/>
      </w:pPr>
      <w:r>
        <w:t>Come accennato in premessa, l’operazione di regolarizzazione è tuttavia condizionata alla circostanza che le attività finanziarie e patrimoniali siano detenute, a partire da una data non successiva al 31 dicembre 2008, in un Paese dell’Unione Europea o in un Paese aderente all’accordo sullo Spazio Economico Europeo (SEE) che garantiscono un “effettivo” scambio di informazioni fiscali in via amministrativa.</w:t>
      </w:r>
    </w:p>
    <w:p w:rsidR="006E374B" w:rsidRDefault="006E374B" w:rsidP="006E374B">
      <w:pPr>
        <w:jc w:val="both"/>
      </w:pPr>
      <w:r>
        <w:t xml:space="preserve">Secondo un’interpretazione letterale della norma, il requisito dell’effettività dello scambio di informazioni si considera in ogni caso sussistente con riferimento ai Paesi dell’Unione Europea, mentre deve essere verificato per quelli aderenti allo SEE. Attualmente gli Stati SEE che rispettano detto requisito sono </w:t>
      </w:r>
      <w:smartTag w:uri="urn:schemas-microsoft-com:office:smarttags" w:element="PersonName">
        <w:smartTagPr>
          <w:attr w:name="ProductID" w:val="la Norvegia"/>
        </w:smartTagPr>
        <w:r>
          <w:t>la Norvegia</w:t>
        </w:r>
      </w:smartTag>
      <w:r>
        <w:t xml:space="preserve"> e l’Islanda. Pertanto, per le attività detenute in Liechtenstein, anch’esso facente parte del SEE, non è consentito effettuare la regolarizzazione. Da tale Paese, quindi, è possibile esclusivamente il rimpatrio.</w:t>
      </w:r>
    </w:p>
    <w:p w:rsidR="006E374B" w:rsidRDefault="006E374B" w:rsidP="006E374B">
      <w:pPr>
        <w:jc w:val="both"/>
      </w:pPr>
      <w:r>
        <w:t xml:space="preserve">La regolarizzazione non è altresì consentita per le attività detenute in Paesi extra UE, quali, ad esempio, </w:t>
      </w:r>
      <w:smartTag w:uri="urn:schemas-microsoft-com:office:smarttags" w:element="PersonName">
        <w:smartTagPr>
          <w:attr w:name="ProductID" w:val="la Svizzera"/>
        </w:smartTagPr>
        <w:r>
          <w:t>la Svizzera</w:t>
        </w:r>
      </w:smartTag>
      <w:r>
        <w:t>, Montecarlo e San Marino, per le quali è prevista esclusivamente la possibilità del rimpatrio.</w:t>
      </w:r>
    </w:p>
    <w:p w:rsidR="006E374B" w:rsidRDefault="006E374B" w:rsidP="006E374B">
      <w:pPr>
        <w:jc w:val="both"/>
      </w:pPr>
      <w:r>
        <w:t>Tuttavia, tenuto conto della disposizione di cui all’articolo 56 del trattato 25 marzo 1957 istitutivo della Comunità europea, che vieta qualsiasi restrizione ai movimenti di capitale non solo tra Stati membri, ma anche tra Stati membri e paesi terzi, si deve ritenere possibile la regolarizzazione delle attività detenute anche nei Paesi extra UE con i quali è in atto un effettivo scambio di informazioni secondo il recente standard ONU/OCSE. Pertanto, in aggiunta ai Paesi della UE e alla Norvegia e all’Islanda, la regolarizzazione è consentita da tutti i Paesi dell’OCSE che non hanno posto riserve alla possibilità di scambiare informazioni bancarie. Si tratta, in particolare, dei seguenti Paesi: Australia, Canada, Corea del Sud, Giappone, Messico, Nuova Zelanda, Stati Uniti e Turchia.</w:t>
      </w:r>
    </w:p>
    <w:p w:rsidR="006E374B" w:rsidRDefault="006E374B" w:rsidP="006E374B">
      <w:pPr>
        <w:jc w:val="both"/>
      </w:pPr>
      <w:r>
        <w:t>In allegato alla presente circolare sono elencati i Paesi dai quali è possibile effettuare l’operazione di regolarizzazione.</w:t>
      </w:r>
    </w:p>
    <w:p w:rsidR="006E374B" w:rsidRDefault="006E374B" w:rsidP="006E374B">
      <w:pPr>
        <w:jc w:val="both"/>
      </w:pPr>
      <w:r>
        <w:t>Per l’individuazione del Paese di detenzione delle attività da regolarizzare rileva quello in cui le attività erano detenute alla data di entrata in vigore della legge di conversione del decreto (5 agosto 2009).</w:t>
      </w:r>
    </w:p>
    <w:p w:rsidR="006E374B" w:rsidRDefault="006E374B" w:rsidP="006E374B">
      <w:pPr>
        <w:jc w:val="both"/>
      </w:pPr>
      <w:r>
        <w:t>Così come per il rimpatrio, ai fini della regolarizzazione i contribuenti sono tenuti a presentare ad uno degli intermediari abilitati la dichiarazione riservata e ad effettuare le medesime procedure stabilite per le operazioni di rimpatrio.</w:t>
      </w:r>
    </w:p>
    <w:p w:rsidR="006E374B" w:rsidRDefault="006E374B" w:rsidP="006E374B">
      <w:pPr>
        <w:jc w:val="both"/>
      </w:pPr>
      <w:r>
        <w:t xml:space="preserve">Qualora la dichiarazione riguardi attività di natura finanziaria, il contribuente deve allegare alla dichiarazione riservata una certificazione o altra documentazione analoga (ad esempio, estratti </w:t>
      </w:r>
      <w:r>
        <w:lastRenderedPageBreak/>
        <w:t>conto bancari) rilasciata dall’intermediario estero, avente data ragionevolmente ravvicinata a quella di presentazione della dichiarazione riservata, che sia in grado di comprovare che le attività finanziarie sono depositate o costituite presso l’intermediario medesimo e che quindi sono effettivamente detenute all’estero.</w:t>
      </w:r>
    </w:p>
    <w:p w:rsidR="006E374B" w:rsidRDefault="006E374B" w:rsidP="006E374B">
      <w:pPr>
        <w:jc w:val="both"/>
      </w:pPr>
      <w:r>
        <w:t>Con riferimento alla predetta certificazione, si precisa che essa non può che essere riferita alle sole attività costituite in deposito presso l’intermediario non residente, quali, ad esempio, somme depositate in conti correnti o in libretti di deposito.</w:t>
      </w:r>
    </w:p>
    <w:p w:rsidR="006E374B" w:rsidRDefault="006E374B" w:rsidP="006E374B">
      <w:pPr>
        <w:jc w:val="both"/>
      </w:pPr>
      <w:r>
        <w:t>Nel caso in cui le attività finanziarie siano detenute, invece, in cassette di sicurezza, si ritiene che l’operazione di regolarizzazione possa essere effettuata soltanto previo effettivo deposito delle attività stesse presso l’intermediario estero tenuto a rilasciare la predetta documentazione.</w:t>
      </w:r>
    </w:p>
    <w:p w:rsidR="006E374B" w:rsidRDefault="006E374B" w:rsidP="006E374B">
      <w:pPr>
        <w:jc w:val="both"/>
      </w:pPr>
      <w:r>
        <w:t>La responsabilità circa la veridicità e la provenienza della certificazione ricade esclusivamente sull’interessato e sul soggetto che l’ha rilasciata, che ne rispondono a tutti gli effetti di legge.</w:t>
      </w:r>
    </w:p>
    <w:p w:rsidR="006E374B" w:rsidRDefault="006E374B" w:rsidP="006E374B">
      <w:pPr>
        <w:jc w:val="both"/>
      </w:pPr>
      <w:r>
        <w:t>Come anticipato, la regolarizzazione può riguardare anche investimenti e attività di natura diversa da quella finanziaria. In questo caso non è richiesta la certificazione sopra citata da parte degli intermediari non residenti, ancorché detti investimenti ed attività siano detenute in cassette di sicurezza.</w:t>
      </w:r>
    </w:p>
    <w:p w:rsidR="006E374B" w:rsidRDefault="006E374B" w:rsidP="006E374B">
      <w:pPr>
        <w:jc w:val="both"/>
      </w:pPr>
      <w:r>
        <w:t>Tuttavia, in mancanza della documentazione attestante il costo di acquisto, al fine di rendere attendibile il valore delle predette attività, si ritiene necessario che esso sia comprovato da un’apposita perizia di stima che deve essere conservata a cura del contribuente ma non obbligatoriamente allegata alla dichiarazione riservata.</w:t>
      </w:r>
    </w:p>
    <w:p w:rsidR="006E374B" w:rsidRDefault="006E374B" w:rsidP="006E374B">
      <w:pPr>
        <w:jc w:val="both"/>
      </w:pPr>
      <w:r>
        <w:t>Gli intermediari incaricati di ricevere le dichiarazioni riservate provvedono a svolgere i medesimi adempimenti previsti per il rimpatrio, richiamati nel successivo paragrafo 9, ad eccezione delle deroghe specificamente previste per il rimpatrio.</w:t>
      </w:r>
    </w:p>
    <w:p w:rsidR="006E374B" w:rsidRDefault="006E374B" w:rsidP="006E374B">
      <w:pPr>
        <w:jc w:val="both"/>
      </w:pPr>
      <w:r>
        <w:t>Con riferimento alle operazioni di regolarizzazione, gli intermediari sono tenuti, come per il rimpatrio, all’effettuazione delle rilevazioni previste dall’articolo 1, commi 1 e 2, del decreto legge n. 167 del 1990, ma devono anche effettuare le comunicazioni di cui al comma 3 del medesimo articolo non previste, invece, per le operazioni di rimpatrio.</w:t>
      </w: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E374B"/>
    <w:rsid w:val="006E374B"/>
    <w:rsid w:val="00AC697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E374B"/>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993</Words>
  <Characters>5661</Characters>
  <Application>Microsoft Office Word</Application>
  <DocSecurity>0</DocSecurity>
  <Lines>47</Lines>
  <Paragraphs>13</Paragraphs>
  <ScaleCrop>false</ScaleCrop>
  <Company>HP</Company>
  <LinksUpToDate>false</LinksUpToDate>
  <CharactersWithSpaces>6641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2009-12-13T16:42:00Z</dcterms:created>
  <dcterms:modified xsi:type="dcterms:W3CDTF">2009-12-13T16:43:00Z</dcterms:modified>
</cp:coreProperties>
</file>