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EA9" w:rsidRDefault="00FD7EA9" w:rsidP="000C1921">
      <w:pPr>
        <w:jc w:val="center"/>
      </w:pPr>
      <w:r>
        <w:t xml:space="preserve">7. MODALITÁ </w:t>
      </w:r>
      <w:proofErr w:type="spellStart"/>
      <w:r>
        <w:t>DI</w:t>
      </w:r>
      <w:proofErr w:type="spellEnd"/>
      <w:r>
        <w:t xml:space="preserve"> DETERMINAZIONE DELL’IMPOSTA STRAORDINARIA DOVUTA</w:t>
      </w:r>
    </w:p>
    <w:p w:rsidR="00FD7EA9" w:rsidRDefault="00FD7EA9" w:rsidP="00FD7EA9">
      <w:pPr>
        <w:jc w:val="both"/>
      </w:pPr>
    </w:p>
    <w:p w:rsidR="00FD7EA9" w:rsidRDefault="00FD7EA9" w:rsidP="00FD7EA9">
      <w:pPr>
        <w:jc w:val="both"/>
      </w:pPr>
      <w:r>
        <w:t>Ai fini del conseguimento degli effetti dell’emersione, è dovuta un’imposta straordinaria, che tiene conto anche degli interessi e delle sanzioni, pari al 50 per cento del rendimento presunto delle attività rimpatriate o regolarizzate.</w:t>
      </w:r>
    </w:p>
    <w:p w:rsidR="00FD7EA9" w:rsidRDefault="00FD7EA9" w:rsidP="00FD7EA9">
      <w:pPr>
        <w:jc w:val="both"/>
      </w:pPr>
      <w:r>
        <w:t>Il rendimento si presume maturato nella misura del 2 per cento annuo per i cinque anni precedenti l’operazione di emersione.</w:t>
      </w:r>
    </w:p>
    <w:p w:rsidR="00FD7EA9" w:rsidRDefault="00FD7EA9" w:rsidP="00FD7EA9">
      <w:pPr>
        <w:jc w:val="both"/>
      </w:pPr>
      <w:r>
        <w:t>In sostanza, quindi, l’imposta è pari al 5 per cento delle attività indicate nella dichiarazione riservata. Si tratta di una presunzione assoluta che non tiene conto del periodo di effettiva detenzione all’estero delle attività che si intende rimpatriare o regolarizzare né del reale rendimento conseguito.</w:t>
      </w:r>
    </w:p>
    <w:p w:rsidR="00FD7EA9" w:rsidRDefault="00FD7EA9" w:rsidP="00FD7EA9">
      <w:pPr>
        <w:jc w:val="both"/>
      </w:pPr>
      <w:r>
        <w:t>Tale presunzione esplica effetti esclusivamente ai fini della determinazione dell’imposta straordinaria e non incide sugli altri profili applicativi della normativa sullo scudo fiscale.</w:t>
      </w:r>
    </w:p>
    <w:p w:rsidR="00FD7EA9" w:rsidRDefault="00FD7EA9" w:rsidP="00FD7EA9">
      <w:pPr>
        <w:jc w:val="both"/>
      </w:pPr>
      <w:r>
        <w:t>Supponendo, ad esempio, che sia effettuato il rimpatrio di una somma pari a € 1.000.000 il cui rendimento lordo presunto è pari a € 20.000 per ciascun anno (per un totale di € 100.000 nei cinque anni precedenti), ne consegue che l’imposta straordinaria dovuta è pari a € 50.000.</w:t>
      </w:r>
    </w:p>
    <w:p w:rsidR="00FD7EA9" w:rsidRDefault="00FD7EA9" w:rsidP="00FD7EA9">
      <w:pPr>
        <w:jc w:val="both"/>
      </w:pPr>
      <w:r>
        <w:t>Non è consentito lo scomputo di eventuali perdite, né il riconoscimento di ritenute o crediti, anche per imposte eventualmente subite all’estero. Tale imposta, inoltre, non costituisce per il contribuente un importo deducibile né compensabile, ai fini di alcuna imposta, tassa o contributo.</w:t>
      </w:r>
    </w:p>
    <w:p w:rsidR="00FD7EA9" w:rsidRDefault="00FD7EA9" w:rsidP="00FD7EA9">
      <w:pPr>
        <w:jc w:val="both"/>
      </w:pPr>
      <w:r>
        <w:t>E’ appena il caso di precisare che l’imposta straordinaria va commisurata all’importo indicato nella dichiarazione riservata delle attività detenute in data non successiva al 31 dicembre 2008 e non va applicata ai rendimenti realizzati a decorrere dal 1° gennaio 2009 e fino alla data di presentazione della dichiarazione riservata, sui quali sono dovute le ordinarie imposte, anche attraverso l’intervento degli intermediari, secondo le modalità specificate nel paragrafo 11.</w:t>
      </w:r>
    </w:p>
    <w:p w:rsidR="00AC6973" w:rsidRDefault="00AC6973"/>
    <w:sectPr w:rsidR="00AC6973" w:rsidSect="00AC69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D7EA9"/>
    <w:rsid w:val="000C1921"/>
    <w:rsid w:val="00AC6973"/>
    <w:rsid w:val="00FD7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D7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1674</Characters>
  <Application>Microsoft Office Word</Application>
  <DocSecurity>0</DocSecurity>
  <Lines>13</Lines>
  <Paragraphs>3</Paragraphs>
  <ScaleCrop>false</ScaleCrop>
  <Company>HP</Company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 MOBILE</dc:creator>
  <cp:lastModifiedBy>Alice MOBILE</cp:lastModifiedBy>
  <cp:revision>2</cp:revision>
  <dcterms:created xsi:type="dcterms:W3CDTF">2009-12-13T16:43:00Z</dcterms:created>
  <dcterms:modified xsi:type="dcterms:W3CDTF">2009-12-13T16:44:00Z</dcterms:modified>
</cp:coreProperties>
</file>